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27" w:rsidRDefault="00E310F5" w:rsidP="00DA525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836930</wp:posOffset>
                </wp:positionV>
                <wp:extent cx="2122805" cy="334010"/>
                <wp:effectExtent l="0" t="0" r="0" b="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2805" cy="334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F16C5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5.95pt;margin-top:65.9pt;width:167.15pt;height:26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" filled="f" stroked="f" strokeweight="1pt">
                <v:path arrowok="t"/>
                <v:textbox>
                  <w:txbxContent>
                    <w:p w:rsidR="00EC5067" w:rsidRPr="009F1404" w:rsidRDefault="00EC5067" w:rsidP="00F16C5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581F">
        <w:rPr>
          <w:noProof/>
          <w:sz w:val="4"/>
          <w:szCs w:val="18"/>
          <w:lang w:eastAsia="ru-RU"/>
        </w:rPr>
        <w:drawing>
          <wp:inline distT="0" distB="0" distL="0" distR="0">
            <wp:extent cx="3543300" cy="1040447"/>
            <wp:effectExtent l="0" t="0" r="0" b="0"/>
            <wp:docPr id="2" name="Рисунок 2" descr="Z:\ОК и АД (все отчеты)\ВСЯ ИНФОРМАЦИЯ ПО СМИ\Сайт ФГБУ\Брендбук\2023\Брендбук 2023\Логотип 2 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Сайт ФГБУ\Брендбук\2023\Брендбук 2023\Логотип 2 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825" cy="105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47" w:rsidRPr="001F5D47" w:rsidRDefault="00E310F5" w:rsidP="00FF1A6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62769A" w:rsidRPr="0068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олучить материалы из </w:t>
      </w:r>
      <w:proofErr w:type="spellStart"/>
      <w:r w:rsidR="0062769A" w:rsidRPr="0068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Госфонда</w:t>
      </w:r>
      <w:proofErr w:type="spellEnd"/>
      <w:r w:rsidR="0062769A" w:rsidRPr="0068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данных землеустройства можно в филиале ППК «</w:t>
      </w:r>
      <w:proofErr w:type="spellStart"/>
      <w:r w:rsidR="0062769A" w:rsidRPr="0068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Роскадастр</w:t>
      </w:r>
      <w:proofErr w:type="spellEnd"/>
      <w:r w:rsidR="0062769A" w:rsidRPr="0068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по </w:t>
      </w:r>
      <w:r w:rsidR="00321059" w:rsidRPr="0068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Курганской</w:t>
      </w:r>
      <w:r w:rsidR="0062769A" w:rsidRPr="0068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</w:p>
    <w:p w:rsidR="0062769A" w:rsidRPr="0062769A" w:rsidRDefault="00700649" w:rsidP="006276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687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января</w:t>
      </w:r>
      <w:r w:rsidR="0062769A" w:rsidRPr="00627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2023 года </w:t>
      </w:r>
      <w:proofErr w:type="spellStart"/>
      <w:r w:rsidR="003210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зауральцы</w:t>
      </w:r>
      <w:proofErr w:type="spellEnd"/>
      <w:r w:rsidR="0062769A" w:rsidRPr="00627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могут запросить документы из Государст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венного фонда данных, полученного</w:t>
      </w:r>
      <w:r w:rsidR="0062769A" w:rsidRPr="00627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результате</w:t>
      </w:r>
      <w:r w:rsidR="00347E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3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проведения </w:t>
      </w:r>
      <w:r w:rsidR="0062769A" w:rsidRPr="00321059">
        <w:rPr>
          <w:rFonts w:ascii="Times New Roman" w:eastAsia="Times New Roman" w:hAnsi="Times New Roman" w:cs="Times New Roman"/>
          <w:bCs/>
          <w:sz w:val="28"/>
          <w:szCs w:val="28"/>
        </w:rPr>
        <w:t>землеустройства</w:t>
      </w:r>
      <w:r w:rsidR="00DB3018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(ГФДЗ)</w:t>
      </w:r>
      <w:r w:rsidR="0062769A" w:rsidRPr="00627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DC5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769A" w:rsidRPr="00627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филиале ППК «</w:t>
      </w:r>
      <w:proofErr w:type="spellStart"/>
      <w:r w:rsidR="0062769A" w:rsidRPr="003210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Роскадастр</w:t>
      </w:r>
      <w:proofErr w:type="spellEnd"/>
      <w:r w:rsidR="0062769A" w:rsidRPr="00627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по </w:t>
      </w:r>
      <w:r w:rsidR="003210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Курганской</w:t>
      </w:r>
      <w:r w:rsidR="00B966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области. Ранее предостав</w:t>
      </w:r>
      <w:r w:rsidR="00687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ление в пользование документов,</w:t>
      </w:r>
      <w:r w:rsidR="0062769A" w:rsidRPr="00627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осуществлялось Управлением </w:t>
      </w:r>
      <w:proofErr w:type="spellStart"/>
      <w:r w:rsidR="0062769A" w:rsidRPr="00627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 w:rsidR="00687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769A" w:rsidRPr="00627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3210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Курганской</w:t>
      </w:r>
      <w:r w:rsidR="0062769A" w:rsidRPr="00627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="00687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 конце 2022 года ведомство </w:t>
      </w:r>
      <w:r w:rsidR="00DC5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передало в</w:t>
      </w:r>
      <w:r w:rsidR="006874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филиал</w:t>
      </w:r>
      <w:r w:rsidR="00682005" w:rsidRPr="006820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66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более 130 тысяч документов</w:t>
      </w:r>
      <w:r w:rsidR="00682005" w:rsidRPr="006820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Государственного фонда данных открытого пользования.</w:t>
      </w:r>
    </w:p>
    <w:p w:rsidR="00B21DCD" w:rsidRPr="0062769A" w:rsidRDefault="0062769A" w:rsidP="002505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69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</w:t>
      </w:r>
      <w:r w:rsidR="00B9669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ственный фонд данных, полученный</w:t>
      </w:r>
      <w:r w:rsidRPr="00627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проведен</w:t>
      </w:r>
      <w:r w:rsidR="00687407">
        <w:rPr>
          <w:rFonts w:ascii="Times New Roman" w:eastAsia="Times New Roman" w:hAnsi="Times New Roman" w:cs="Times New Roman"/>
          <w:color w:val="000000"/>
          <w:sz w:val="28"/>
          <w:szCs w:val="28"/>
        </w:rPr>
        <w:t>ия землеустройства</w:t>
      </w:r>
      <w:r w:rsidR="00250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архив </w:t>
      </w:r>
      <w:r w:rsidRPr="00321059">
        <w:rPr>
          <w:rFonts w:ascii="Times New Roman" w:eastAsia="Times New Roman" w:hAnsi="Times New Roman" w:cs="Times New Roman"/>
          <w:sz w:val="28"/>
          <w:szCs w:val="28"/>
        </w:rPr>
        <w:t>землеустроительной</w:t>
      </w:r>
      <w:r w:rsidR="00B96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69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документации, геодезической и картографической продукции, которая изготавливается при проведении землеустройства. Пополнение фонда происходит за счет того, что лица, осуществляющие проведение землеустройства, обязаны бесплатно передать экземпляр подготовленной ими землеустроительной документации в фонд.</w:t>
      </w:r>
    </w:p>
    <w:p w:rsidR="0062769A" w:rsidRPr="0062769A" w:rsidRDefault="0062769A" w:rsidP="006276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69A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из архива могут использоваться</w:t>
      </w:r>
      <w:r w:rsidR="00B966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27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исходные данные при проведении кадастровых работ по установлению или определению местоположения границ земельных участков при выполнении комплексных кадастровых работ, для уточнения границ ранее образованных участков и т.д.</w:t>
      </w:r>
    </w:p>
    <w:p w:rsidR="00B21DCD" w:rsidRPr="0062769A" w:rsidRDefault="0062769A" w:rsidP="00D828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69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37A3F"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начала 2023 года ф</w:t>
      </w:r>
      <w:r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илиал ППК «</w:t>
      </w:r>
      <w:proofErr w:type="spellStart"/>
      <w:r w:rsidRPr="00A37A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Роскадастр</w:t>
      </w:r>
      <w:proofErr w:type="spellEnd"/>
      <w:r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» по </w:t>
      </w:r>
      <w:r w:rsidR="007D1F01"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Курганской</w:t>
      </w:r>
      <w:r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области принял архивы Государственного фонда д</w:t>
      </w:r>
      <w:r w:rsidR="00B96698"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анных, ранее находившиеся </w:t>
      </w:r>
      <w:r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ведении Управления </w:t>
      </w:r>
      <w:proofErr w:type="spellStart"/>
      <w:r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Росреестра</w:t>
      </w:r>
      <w:proofErr w:type="spellEnd"/>
      <w:r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 </w:t>
      </w:r>
      <w:r w:rsidR="007D1F01"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Курганской области</w:t>
      </w:r>
      <w:r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В рамках реализации государственной программы «</w:t>
      </w:r>
      <w:r w:rsidRPr="00A37A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Национальная</w:t>
      </w:r>
      <w:r w:rsidR="005072AC" w:rsidRPr="00A37A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система пространственных данных» продолжается оцифровка </w:t>
      </w:r>
      <w:r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документов, что позволит в дальнейшем </w:t>
      </w:r>
      <w:r w:rsidR="001D0D3D"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предоставлять сведения из государственного фонда данных, полученных в результате проведения землеустройства, </w:t>
      </w:r>
      <w:r w:rsidRPr="00A37A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максимально короткие сроки</w:t>
      </w:r>
      <w:r w:rsidRPr="00627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– </w:t>
      </w:r>
      <w:r w:rsidRPr="00D8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комментирует </w:t>
      </w:r>
      <w:r w:rsidR="00250556" w:rsidRPr="00A37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отдела ведения архива</w:t>
      </w:r>
      <w:r w:rsidRPr="00A37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филиала ППК «</w:t>
      </w:r>
      <w:proofErr w:type="spellStart"/>
      <w:r w:rsidRPr="00A37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Роскадастр</w:t>
      </w:r>
      <w:proofErr w:type="spellEnd"/>
      <w:r w:rsidRPr="00A37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по </w:t>
      </w:r>
      <w:r w:rsidR="00D82840" w:rsidRPr="00A37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Курганской</w:t>
      </w:r>
      <w:r w:rsidRPr="00A37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области </w:t>
      </w:r>
      <w:r w:rsidR="00D82840" w:rsidRPr="00A37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Любовь Быстрова</w:t>
      </w:r>
      <w:r w:rsidRPr="00D82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38A1" w:rsidRDefault="002A5CB7" w:rsidP="00597B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CB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документы</w:t>
      </w:r>
      <w:r w:rsidR="00E73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</w:t>
      </w:r>
      <w:r w:rsidR="00A37A3F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 фонда данных, отнесенных</w:t>
      </w:r>
      <w:r w:rsidR="00E73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687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документам общего пользования, </w:t>
      </w:r>
      <w:r w:rsidRPr="002A5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электронном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Pr="002A5CB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B96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2A5CB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Единый портал госу</w:t>
        </w:r>
        <w:r w:rsidR="004144C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дарственных </w:t>
        </w:r>
        <w:r w:rsidRPr="002A5CB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слуг</w:t>
        </w:r>
      </w:hyperlink>
      <w:r w:rsidR="00687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53B35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 w:rsidRPr="002A5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«Стройка, недвижимость», заполнив ф</w:t>
      </w:r>
      <w:r w:rsidR="00597B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38A1">
        <w:rPr>
          <w:rFonts w:ascii="Times New Roman" w:eastAsia="Times New Roman" w:hAnsi="Times New Roman" w:cs="Times New Roman"/>
          <w:color w:val="000000"/>
          <w:sz w:val="28"/>
          <w:szCs w:val="28"/>
        </w:rPr>
        <w:t>рму соответствующего заявления.</w:t>
      </w:r>
    </w:p>
    <w:p w:rsidR="00CC6DFB" w:rsidRDefault="00CC6DFB" w:rsidP="0029321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8A1" w:rsidRDefault="00CC6DFB" w:rsidP="00CC6DF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Лично с</w:t>
      </w:r>
      <w:r w:rsidR="00DC5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заявлением, </w:t>
      </w:r>
      <w:r w:rsidR="00687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заинтересованные лица могут </w:t>
      </w:r>
      <w:r w:rsidR="00E738A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C5D29"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братиться</w:t>
      </w:r>
      <w:r w:rsidR="00B06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офис</w:t>
      </w:r>
      <w:r w:rsidR="00B06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</w:t>
      </w:r>
      <w:r w:rsidR="00687407" w:rsidRPr="00045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г. Курган, ул. </w:t>
      </w:r>
      <w:r w:rsidRPr="00045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Ленина, 40</w:t>
      </w:r>
      <w:r w:rsidR="00B069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3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в территориальный отдел филиала (в районах – в соответствующие подразделения филиала),</w:t>
      </w:r>
      <w:r w:rsidR="00E73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заявление почтовым отправлением </w:t>
      </w:r>
      <w:r w:rsidR="00045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B772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640002, </w:t>
      </w:r>
      <w:r w:rsidR="00E738A1" w:rsidRPr="00B772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 Курган, ул. Ленина,</w:t>
      </w:r>
      <w:r w:rsidR="00293217" w:rsidRPr="00B772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</w:t>
      </w:r>
      <w:r w:rsidR="00B772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0, О</w:t>
      </w:r>
      <w:r w:rsidR="00045ABA" w:rsidRPr="00B772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тдел ведения архива</w:t>
      </w:r>
      <w:r w:rsidR="00293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97B76" w:rsidRDefault="00A37A3F" w:rsidP="006276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отметить, что с</w:t>
      </w:r>
      <w:r w:rsidR="00597B76" w:rsidRPr="00597B7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предоставляются бесплатно, срок предоставления составляет не более трех рабочих дней со дня поступления запроса в электронном виде и не более пятнадцати рабочих дней со дня поступления запроса в виде бумажного документа (почтовым отправлением).</w:t>
      </w:r>
    </w:p>
    <w:p w:rsidR="0062769A" w:rsidRDefault="0062769A" w:rsidP="00045A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69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офисов филиала ППК «</w:t>
      </w:r>
      <w:proofErr w:type="spellStart"/>
      <w:r w:rsidRPr="00627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Роскадастр</w:t>
      </w:r>
      <w:proofErr w:type="spellEnd"/>
      <w:r w:rsidRPr="00627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 </w:t>
      </w:r>
      <w:r w:rsidR="007D1F01">
        <w:rPr>
          <w:rFonts w:ascii="Times New Roman" w:eastAsia="Times New Roman" w:hAnsi="Times New Roman" w:cs="Times New Roman"/>
          <w:color w:val="000000"/>
          <w:sz w:val="28"/>
          <w:szCs w:val="28"/>
        </w:rPr>
        <w:t>Курганской</w:t>
      </w:r>
      <w:r w:rsidRPr="00627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в которые можно обр</w:t>
      </w:r>
      <w:r w:rsidR="00A37A3F">
        <w:rPr>
          <w:rFonts w:ascii="Times New Roman" w:eastAsia="Times New Roman" w:hAnsi="Times New Roman" w:cs="Times New Roman"/>
          <w:color w:val="000000"/>
          <w:sz w:val="28"/>
          <w:szCs w:val="28"/>
        </w:rPr>
        <w:t>атиться,</w:t>
      </w:r>
      <w:r w:rsidR="00D82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контактные данные: </w:t>
      </w:r>
    </w:p>
    <w:p w:rsidR="008218A6" w:rsidRDefault="008218A6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2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C748D" w:rsidRPr="00C8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Курган, </w:t>
      </w:r>
      <w:proofErr w:type="spellStart"/>
      <w:r w:rsidR="00C57E0D">
        <w:rPr>
          <w:rFonts w:ascii="Times New Roman" w:eastAsia="Times New Roman" w:hAnsi="Times New Roman" w:cs="Times New Roman"/>
          <w:color w:val="000000"/>
          <w:sz w:val="28"/>
          <w:szCs w:val="28"/>
        </w:rPr>
        <w:t>Кетовский</w:t>
      </w:r>
      <w:proofErr w:type="spellEnd"/>
      <w:r w:rsidR="00525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25C0F">
        <w:rPr>
          <w:rFonts w:ascii="Times New Roman" w:eastAsia="Times New Roman" w:hAnsi="Times New Roman" w:cs="Times New Roman"/>
          <w:color w:val="000000"/>
          <w:sz w:val="28"/>
          <w:szCs w:val="28"/>
        </w:rPr>
        <w:t>Макушинский</w:t>
      </w:r>
      <w:proofErr w:type="spellEnd"/>
      <w:r w:rsidR="00525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C57E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93217" w:rsidRPr="00C8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C748D" w:rsidRPr="00C82253">
        <w:rPr>
          <w:rFonts w:ascii="Times New Roman" w:eastAsia="Times New Roman" w:hAnsi="Times New Roman" w:cs="Times New Roman"/>
          <w:color w:val="000000"/>
          <w:sz w:val="28"/>
          <w:szCs w:val="28"/>
        </w:rPr>
        <w:t>г. Курган,</w:t>
      </w:r>
      <w:r w:rsidR="00293217" w:rsidRPr="00C8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Ленина, 40. </w:t>
      </w:r>
      <w:r w:rsidR="004D6195" w:rsidRPr="00C8225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93217" w:rsidRPr="00C8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ел. 42-70-01, доб. </w:t>
      </w:r>
      <w:r w:rsidR="00AC748D" w:rsidRPr="00C82253">
        <w:rPr>
          <w:rFonts w:ascii="Times New Roman" w:eastAsia="Times New Roman" w:hAnsi="Times New Roman" w:cs="Times New Roman"/>
          <w:color w:val="000000"/>
          <w:sz w:val="28"/>
          <w:szCs w:val="28"/>
        </w:rPr>
        <w:t>2076</w:t>
      </w:r>
      <w:r w:rsidR="00293217" w:rsidRPr="00C82253">
        <w:rPr>
          <w:rFonts w:ascii="Times New Roman" w:eastAsia="Times New Roman" w:hAnsi="Times New Roman" w:cs="Times New Roman"/>
          <w:color w:val="000000"/>
          <w:sz w:val="28"/>
          <w:szCs w:val="28"/>
        </w:rPr>
        <w:t>, 2070</w:t>
      </w:r>
      <w:r w:rsidR="00AC748D" w:rsidRPr="00C8225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Альменевский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Шумихинский районы (г. Шумиха, ул.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Тутынина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, 19, каб.401,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тел. 42-70-01, доб. 4022);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Белозерский район (с. Белозерское, ул. Советская 30, тел. 42-70-01,      </w:t>
      </w:r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доб. 4002);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Варгашинский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(р. п. Варгаши, ул. Социалистиче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53, </w:t>
      </w:r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тел. 42-70-01, </w:t>
      </w: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доб. 4003);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Далматовский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(г. Далматово, ул. Герцена, 12, тел. 42-70-</w:t>
      </w:r>
      <w:proofErr w:type="gram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доб. 4004);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Звериногловский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Звериноголовское, ул. Луначарского, </w:t>
      </w:r>
      <w:proofErr w:type="gram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21, </w:t>
      </w:r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тел. 42-70-01, доб. 4005);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Каргапольский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. Каргаполье, ул. Мира, 3, тел. 42-70-</w:t>
      </w:r>
      <w:proofErr w:type="gram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01,   </w:t>
      </w:r>
      <w:proofErr w:type="gram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доб. 4006);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Катайский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(г.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Катайск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Советская, 46, тел. 42-70-01, доб. 4007);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Куртамышский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(г. Куртамыш, пр. Ленина, 16, тел. 42-70-</w:t>
      </w:r>
      <w:proofErr w:type="gram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01,   </w:t>
      </w:r>
      <w:proofErr w:type="gramEnd"/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доб. 4009);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Лебяжьевский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Лебяжье, ул.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Лукияновская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, 62, тел. 42-70-01, доб. 4010);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Мишкинский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. Мишкино, ул. Ленина, 28, тел. 42-70-</w:t>
      </w:r>
      <w:proofErr w:type="gram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01,   </w:t>
      </w:r>
      <w:proofErr w:type="gram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доб. 4012);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Мокроусовский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(с. Мокроусово, ул. Советская, 46, тел. 42-70-01, доб. 4013);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Петуховский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Частоозерский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районы (г. Петухово, ул. Советская, 61 каб.7, тел. 42-70-01, доб. 4014);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(с. Половинное, ул. Советская ,64, тел. 42-70-</w:t>
      </w:r>
      <w:proofErr w:type="gram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01,  </w:t>
      </w:r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доб. 4015);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Притобольный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(с. Глядянское, ул. Советская, 14, тел. 42-70-</w:t>
      </w:r>
      <w:proofErr w:type="gram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01,   </w:t>
      </w:r>
      <w:proofErr w:type="gram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доб. 4016);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Сафакулевский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Щучанский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районы (г. Щучье, пл. Победы, </w:t>
      </w:r>
      <w:proofErr w:type="gram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3,  тел.</w:t>
      </w:r>
      <w:proofErr w:type="gram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42-70-01, доб. 4023);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Целинный район (с. Целинное, ул. Колхозная, 2А, тел. 42-70-</w:t>
      </w:r>
      <w:proofErr w:type="gram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01,   </w:t>
      </w:r>
      <w:proofErr w:type="gram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доб. 4018);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г. Шадринск,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Шадринский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(г. Шадринск, ул. Советская, 75</w:t>
      </w:r>
      <w:proofErr w:type="gram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AE4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тел. 42-70-01, доб. 4020);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Шатровский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(с. Шатрово, ул. Кирова,12, тел. 42-70-01, доб. 4021);</w:t>
      </w:r>
    </w:p>
    <w:p w:rsidR="00CD5335" w:rsidRPr="00CD5335" w:rsidRDefault="00CD5335" w:rsidP="00CD5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Юргамышский</w:t>
      </w:r>
      <w:proofErr w:type="spell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(р. п. Юргамыш, ул. Ленина, 49, тел. 42-70-</w:t>
      </w:r>
      <w:proofErr w:type="gramStart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01,   </w:t>
      </w:r>
      <w:proofErr w:type="gramEnd"/>
      <w:r w:rsidRPr="00CD5335">
        <w:rPr>
          <w:rFonts w:ascii="Times New Roman" w:eastAsia="Times New Roman" w:hAnsi="Times New Roman" w:cs="Times New Roman"/>
          <w:color w:val="000000"/>
          <w:sz w:val="28"/>
          <w:szCs w:val="28"/>
        </w:rPr>
        <w:t>доб. 4024).</w:t>
      </w:r>
    </w:p>
    <w:p w:rsidR="0071079D" w:rsidRDefault="0071079D" w:rsidP="007107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документов ГФДЗ сотрудником филиала, осуществляется в соответствии с Административным регламентом Федерального агентства кадастра объектов недвижимости по предоставлению государственной услуги «Ведение государственного фонда данных, полученных в результате проведения землеустройства», утвержденного приказом Минэкономразвития и торговли Российской Федерации от 14.11.2006 № 376.</w:t>
      </w:r>
    </w:p>
    <w:p w:rsidR="00CD7713" w:rsidRPr="0062769A" w:rsidRDefault="00597B76" w:rsidP="00CD77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B76">
        <w:rPr>
          <w:rFonts w:ascii="Times New Roman" w:hAnsi="Times New Roman" w:cs="Times New Roman"/>
          <w:sz w:val="28"/>
          <w:szCs w:val="28"/>
        </w:rPr>
        <w:t>Все</w:t>
      </w:r>
      <w:r w:rsidR="006B22FA">
        <w:rPr>
          <w:rFonts w:ascii="Times New Roman" w:hAnsi="Times New Roman" w:cs="Times New Roman"/>
          <w:sz w:val="28"/>
          <w:szCs w:val="28"/>
        </w:rPr>
        <w:t xml:space="preserve"> документы ГФДЗ</w:t>
      </w:r>
      <w:r w:rsidR="00045ABA">
        <w:rPr>
          <w:rFonts w:ascii="Times New Roman" w:hAnsi="Times New Roman" w:cs="Times New Roman"/>
          <w:sz w:val="28"/>
          <w:szCs w:val="28"/>
        </w:rPr>
        <w:t xml:space="preserve"> (копии, </w:t>
      </w:r>
      <w:proofErr w:type="spellStart"/>
      <w:r w:rsidR="00204A2E">
        <w:rPr>
          <w:rFonts w:ascii="Times New Roman" w:hAnsi="Times New Roman" w:cs="Times New Roman"/>
          <w:sz w:val="28"/>
          <w:szCs w:val="28"/>
        </w:rPr>
        <w:t>выкопир</w:t>
      </w:r>
      <w:r w:rsidR="00077C9C">
        <w:rPr>
          <w:rFonts w:ascii="Times New Roman" w:hAnsi="Times New Roman" w:cs="Times New Roman"/>
          <w:sz w:val="28"/>
          <w:szCs w:val="28"/>
        </w:rPr>
        <w:t>о</w:t>
      </w:r>
      <w:r w:rsidR="00204A2E"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="00204A2E">
        <w:rPr>
          <w:rFonts w:ascii="Times New Roman" w:hAnsi="Times New Roman" w:cs="Times New Roman"/>
          <w:sz w:val="28"/>
          <w:szCs w:val="28"/>
        </w:rPr>
        <w:t xml:space="preserve"> и др.)</w:t>
      </w:r>
      <w:r w:rsidR="006B22FA">
        <w:rPr>
          <w:rFonts w:ascii="Times New Roman" w:hAnsi="Times New Roman" w:cs="Times New Roman"/>
          <w:sz w:val="28"/>
          <w:szCs w:val="28"/>
        </w:rPr>
        <w:t xml:space="preserve">, </w:t>
      </w:r>
      <w:r w:rsidRPr="00597B76">
        <w:rPr>
          <w:rFonts w:ascii="Times New Roman" w:hAnsi="Times New Roman" w:cs="Times New Roman"/>
          <w:sz w:val="28"/>
          <w:szCs w:val="28"/>
        </w:rPr>
        <w:t xml:space="preserve">подготовленные для </w:t>
      </w:r>
      <w:r w:rsidR="00204A2E">
        <w:rPr>
          <w:rFonts w:ascii="Times New Roman" w:hAnsi="Times New Roman" w:cs="Times New Roman"/>
          <w:sz w:val="28"/>
          <w:szCs w:val="28"/>
        </w:rPr>
        <w:t xml:space="preserve">заявителя, </w:t>
      </w:r>
      <w:r w:rsidR="00AC748D">
        <w:rPr>
          <w:rFonts w:ascii="Times New Roman" w:hAnsi="Times New Roman" w:cs="Times New Roman"/>
          <w:sz w:val="28"/>
          <w:szCs w:val="28"/>
        </w:rPr>
        <w:t>удостоверяются</w:t>
      </w:r>
      <w:r w:rsidRPr="00597B76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</w:t>
      </w:r>
      <w:r w:rsidR="0071079D">
        <w:rPr>
          <w:rFonts w:ascii="Times New Roman" w:hAnsi="Times New Roman" w:cs="Times New Roman"/>
          <w:sz w:val="28"/>
          <w:szCs w:val="28"/>
        </w:rPr>
        <w:t xml:space="preserve">ой подписью сотрудника филиала </w:t>
      </w:r>
      <w:r w:rsidRPr="00597B76">
        <w:rPr>
          <w:rFonts w:ascii="Times New Roman" w:hAnsi="Times New Roman" w:cs="Times New Roman"/>
          <w:sz w:val="28"/>
          <w:szCs w:val="28"/>
        </w:rPr>
        <w:t xml:space="preserve">ППК </w:t>
      </w:r>
      <w:r w:rsidR="007107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7B76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597B76">
        <w:rPr>
          <w:rFonts w:ascii="Times New Roman" w:hAnsi="Times New Roman" w:cs="Times New Roman"/>
          <w:sz w:val="28"/>
          <w:szCs w:val="28"/>
        </w:rPr>
        <w:t xml:space="preserve">» по </w:t>
      </w:r>
      <w:r>
        <w:rPr>
          <w:rFonts w:ascii="Times New Roman" w:hAnsi="Times New Roman" w:cs="Times New Roman"/>
          <w:sz w:val="28"/>
          <w:szCs w:val="28"/>
        </w:rPr>
        <w:t>Курганской</w:t>
      </w:r>
      <w:r w:rsidRPr="00597B7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94FCC" w:rsidRPr="0062769A" w:rsidRDefault="00394FCC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62769A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5253" w:rsidRDefault="00DA5253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5C7" w:rsidRDefault="009B25C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8A6" w:rsidRDefault="008218A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8A6" w:rsidRDefault="008218A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8A6" w:rsidRDefault="008218A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8A6" w:rsidRDefault="008218A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5335" w:rsidRDefault="00CD5335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18A6" w:rsidRDefault="008218A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5C7" w:rsidRDefault="009B25C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57C0" w:rsidRDefault="003557C0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B2589C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>
        <w:rPr>
          <w:rFonts w:ascii="Times New Roman" w:hAnsi="Times New Roman" w:cs="Times New Roman"/>
          <w:i/>
          <w:sz w:val="28"/>
          <w:szCs w:val="28"/>
        </w:rPr>
        <w:t>филиала ППК «</w:t>
      </w:r>
      <w:proofErr w:type="spellStart"/>
      <w:r w:rsidR="003557C0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3557C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DA5253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BB" w:rsidRDefault="00F002BB" w:rsidP="00EC5067">
      <w:pPr>
        <w:spacing w:after="0" w:line="240" w:lineRule="auto"/>
      </w:pPr>
      <w:r>
        <w:separator/>
      </w:r>
    </w:p>
  </w:endnote>
  <w:endnote w:type="continuationSeparator" w:id="0">
    <w:p w:rsidR="00F002BB" w:rsidRDefault="00F002BB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BB" w:rsidRDefault="00F002BB" w:rsidP="00EC5067">
      <w:pPr>
        <w:spacing w:after="0" w:line="240" w:lineRule="auto"/>
      </w:pPr>
      <w:r>
        <w:separator/>
      </w:r>
    </w:p>
  </w:footnote>
  <w:footnote w:type="continuationSeparator" w:id="0">
    <w:p w:rsidR="00F002BB" w:rsidRDefault="00F002BB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45ABA"/>
    <w:rsid w:val="000530A1"/>
    <w:rsid w:val="00066F9C"/>
    <w:rsid w:val="00074E4E"/>
    <w:rsid w:val="00077C9C"/>
    <w:rsid w:val="0008657D"/>
    <w:rsid w:val="000C48BE"/>
    <w:rsid w:val="000C765E"/>
    <w:rsid w:val="000D26CA"/>
    <w:rsid w:val="000D273F"/>
    <w:rsid w:val="001403B1"/>
    <w:rsid w:val="0016658B"/>
    <w:rsid w:val="00173720"/>
    <w:rsid w:val="00176804"/>
    <w:rsid w:val="001854FC"/>
    <w:rsid w:val="001A6738"/>
    <w:rsid w:val="001D0D3D"/>
    <w:rsid w:val="001F5D47"/>
    <w:rsid w:val="00204A2E"/>
    <w:rsid w:val="0023221B"/>
    <w:rsid w:val="00250556"/>
    <w:rsid w:val="00281885"/>
    <w:rsid w:val="00293217"/>
    <w:rsid w:val="0029396D"/>
    <w:rsid w:val="002A5CB7"/>
    <w:rsid w:val="002F1BCC"/>
    <w:rsid w:val="00321059"/>
    <w:rsid w:val="00347E02"/>
    <w:rsid w:val="00353B35"/>
    <w:rsid w:val="003547CA"/>
    <w:rsid w:val="003557C0"/>
    <w:rsid w:val="003619FF"/>
    <w:rsid w:val="003752E4"/>
    <w:rsid w:val="00394FCC"/>
    <w:rsid w:val="003E2B7B"/>
    <w:rsid w:val="004144C8"/>
    <w:rsid w:val="0043581F"/>
    <w:rsid w:val="004442CE"/>
    <w:rsid w:val="00444354"/>
    <w:rsid w:val="004D0258"/>
    <w:rsid w:val="004D6195"/>
    <w:rsid w:val="004F1854"/>
    <w:rsid w:val="005072AC"/>
    <w:rsid w:val="005135A4"/>
    <w:rsid w:val="00525C0F"/>
    <w:rsid w:val="00543777"/>
    <w:rsid w:val="00597B76"/>
    <w:rsid w:val="005B1ACB"/>
    <w:rsid w:val="005C53D0"/>
    <w:rsid w:val="005C70E6"/>
    <w:rsid w:val="00617184"/>
    <w:rsid w:val="0062769A"/>
    <w:rsid w:val="00627F9F"/>
    <w:rsid w:val="00682005"/>
    <w:rsid w:val="00687407"/>
    <w:rsid w:val="006A31F4"/>
    <w:rsid w:val="006A74FC"/>
    <w:rsid w:val="006B22FA"/>
    <w:rsid w:val="00700649"/>
    <w:rsid w:val="0071079D"/>
    <w:rsid w:val="00713726"/>
    <w:rsid w:val="007528D8"/>
    <w:rsid w:val="00761313"/>
    <w:rsid w:val="007B0D17"/>
    <w:rsid w:val="007B252F"/>
    <w:rsid w:val="007B327C"/>
    <w:rsid w:val="007B52FA"/>
    <w:rsid w:val="007B6E22"/>
    <w:rsid w:val="007C4E2D"/>
    <w:rsid w:val="007D1DE4"/>
    <w:rsid w:val="007D1F01"/>
    <w:rsid w:val="008218A6"/>
    <w:rsid w:val="008316F8"/>
    <w:rsid w:val="00831FE5"/>
    <w:rsid w:val="008541CD"/>
    <w:rsid w:val="00867E42"/>
    <w:rsid w:val="00875159"/>
    <w:rsid w:val="00891778"/>
    <w:rsid w:val="008C0D12"/>
    <w:rsid w:val="00991079"/>
    <w:rsid w:val="009B25C7"/>
    <w:rsid w:val="009D54E8"/>
    <w:rsid w:val="009D5DD9"/>
    <w:rsid w:val="009F325E"/>
    <w:rsid w:val="00A12A08"/>
    <w:rsid w:val="00A150AD"/>
    <w:rsid w:val="00A30CCE"/>
    <w:rsid w:val="00A37A3F"/>
    <w:rsid w:val="00A57055"/>
    <w:rsid w:val="00A74016"/>
    <w:rsid w:val="00AA514E"/>
    <w:rsid w:val="00AC0053"/>
    <w:rsid w:val="00AC2695"/>
    <w:rsid w:val="00AC748D"/>
    <w:rsid w:val="00AE49D8"/>
    <w:rsid w:val="00B0697F"/>
    <w:rsid w:val="00B21DCD"/>
    <w:rsid w:val="00B31855"/>
    <w:rsid w:val="00B40F0F"/>
    <w:rsid w:val="00B55FB5"/>
    <w:rsid w:val="00B7724E"/>
    <w:rsid w:val="00B96698"/>
    <w:rsid w:val="00C06E99"/>
    <w:rsid w:val="00C10CA5"/>
    <w:rsid w:val="00C57E0D"/>
    <w:rsid w:val="00C73AA1"/>
    <w:rsid w:val="00C82253"/>
    <w:rsid w:val="00CA5431"/>
    <w:rsid w:val="00CA747F"/>
    <w:rsid w:val="00CC654D"/>
    <w:rsid w:val="00CC6DFB"/>
    <w:rsid w:val="00CD5335"/>
    <w:rsid w:val="00CD7713"/>
    <w:rsid w:val="00D66DBA"/>
    <w:rsid w:val="00D82840"/>
    <w:rsid w:val="00D86ADC"/>
    <w:rsid w:val="00D92F93"/>
    <w:rsid w:val="00DA5253"/>
    <w:rsid w:val="00DB3018"/>
    <w:rsid w:val="00DC5D29"/>
    <w:rsid w:val="00DD30E5"/>
    <w:rsid w:val="00E263AF"/>
    <w:rsid w:val="00E310F5"/>
    <w:rsid w:val="00E33448"/>
    <w:rsid w:val="00E733D5"/>
    <w:rsid w:val="00E738A1"/>
    <w:rsid w:val="00E82C11"/>
    <w:rsid w:val="00EA4927"/>
    <w:rsid w:val="00EC5067"/>
    <w:rsid w:val="00EC7F1B"/>
    <w:rsid w:val="00ED5A7B"/>
    <w:rsid w:val="00F002BB"/>
    <w:rsid w:val="00F02C40"/>
    <w:rsid w:val="00F16C5B"/>
    <w:rsid w:val="00F20056"/>
    <w:rsid w:val="00F246C6"/>
    <w:rsid w:val="00F26260"/>
    <w:rsid w:val="00F31366"/>
    <w:rsid w:val="00F45567"/>
    <w:rsid w:val="00F547CB"/>
    <w:rsid w:val="00F72E74"/>
    <w:rsid w:val="00F90277"/>
    <w:rsid w:val="00FB1946"/>
    <w:rsid w:val="00FF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1351F3D-5D7F-4F33-B4FE-CECB66AB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1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AB500-40FB-4799-B3CF-C5673907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3</cp:revision>
  <cp:lastPrinted>2023-03-13T04:19:00Z</cp:lastPrinted>
  <dcterms:created xsi:type="dcterms:W3CDTF">2023-03-13T08:07:00Z</dcterms:created>
  <dcterms:modified xsi:type="dcterms:W3CDTF">2023-03-13T08:26:00Z</dcterms:modified>
</cp:coreProperties>
</file>